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5D11" w:rsidRPr="0078246A" w:rsidRDefault="001A5D11" w:rsidP="001A5D11">
      <w:pPr>
        <w:tabs>
          <w:tab w:val="left" w:pos="1701"/>
          <w:tab w:val="right" w:pos="9923"/>
        </w:tabs>
        <w:wordWrap/>
        <w:autoSpaceDE/>
        <w:autoSpaceDN/>
        <w:spacing w:before="120" w:after="0" w:line="240" w:lineRule="auto"/>
        <w:jc w:val="left"/>
        <w:rPr>
          <w:rFonts w:ascii="Arial" w:eastAsia="MS Mincho" w:hAnsi="Arial" w:cs="Times New Roman"/>
          <w:b/>
          <w:kern w:val="0"/>
          <w:sz w:val="24"/>
          <w:szCs w:val="24"/>
          <w:lang w:val="en-GB" w:eastAsia="en-GB"/>
        </w:rPr>
      </w:pPr>
      <w:r w:rsidRPr="0078246A">
        <w:rPr>
          <w:rFonts w:ascii="Arial" w:eastAsia="MS Mincho" w:hAnsi="Arial" w:cs="Times New Roman"/>
          <w:b/>
          <w:kern w:val="0"/>
          <w:sz w:val="24"/>
          <w:szCs w:val="24"/>
          <w:lang w:val="en-GB" w:eastAsia="en-GB"/>
        </w:rPr>
        <w:t>3GPP TSG-RAN WG2 Meeting #109bis-e</w:t>
      </w:r>
      <w:r w:rsidRPr="0078246A">
        <w:rPr>
          <w:rFonts w:ascii="Arial" w:eastAsia="MS Mincho" w:hAnsi="Arial" w:cs="Times New Roman"/>
          <w:b/>
          <w:kern w:val="0"/>
          <w:sz w:val="24"/>
          <w:szCs w:val="24"/>
          <w:lang w:val="en-GB" w:eastAsia="en-GB"/>
        </w:rPr>
        <w:tab/>
      </w:r>
      <w:r w:rsidR="00455830" w:rsidRPr="00455830">
        <w:rPr>
          <w:rFonts w:ascii="Arial" w:eastAsia="MS Mincho" w:hAnsi="Arial" w:cs="Times New Roman"/>
          <w:b/>
          <w:kern w:val="0"/>
          <w:sz w:val="24"/>
          <w:szCs w:val="24"/>
          <w:lang w:val="en-GB" w:eastAsia="en-GB"/>
        </w:rPr>
        <w:t>R2-2003726</w:t>
      </w:r>
      <w:bookmarkStart w:id="0" w:name="_GoBack"/>
      <w:bookmarkEnd w:id="0"/>
    </w:p>
    <w:p w:rsidR="001A5D11" w:rsidRPr="0078246A" w:rsidRDefault="001A5D11" w:rsidP="001A5D11">
      <w:pPr>
        <w:tabs>
          <w:tab w:val="left" w:pos="1701"/>
          <w:tab w:val="right" w:pos="9923"/>
        </w:tabs>
        <w:wordWrap/>
        <w:autoSpaceDE/>
        <w:autoSpaceDN/>
        <w:spacing w:before="120" w:after="0" w:line="240" w:lineRule="auto"/>
        <w:jc w:val="left"/>
        <w:rPr>
          <w:rFonts w:ascii="Arial" w:eastAsia="MS Mincho" w:hAnsi="Arial" w:cs="Times New Roman"/>
          <w:b/>
          <w:kern w:val="0"/>
          <w:sz w:val="24"/>
          <w:szCs w:val="24"/>
          <w:lang w:val="en-GB" w:eastAsia="en-GB"/>
        </w:rPr>
      </w:pPr>
      <w:r w:rsidRPr="0078246A">
        <w:rPr>
          <w:rFonts w:ascii="Arial" w:eastAsia="SimSun" w:hAnsi="Arial" w:cs="Arial"/>
          <w:b/>
          <w:kern w:val="0"/>
          <w:sz w:val="24"/>
          <w:szCs w:val="24"/>
          <w:lang w:val="de-DE" w:eastAsia="zh-CN"/>
        </w:rPr>
        <w:t>Electronic, 20 April – 30 April 2020</w:t>
      </w:r>
    </w:p>
    <w:p w:rsidR="001A5D11" w:rsidRDefault="001A5D11" w:rsidP="001A5D11"/>
    <w:p w:rsidR="001A5D11" w:rsidRPr="0078246A" w:rsidRDefault="001A5D11" w:rsidP="001A5D11">
      <w:pPr>
        <w:widowControl/>
        <w:wordWrap/>
        <w:autoSpaceDE/>
        <w:autoSpaceDN/>
        <w:spacing w:after="120" w:line="240" w:lineRule="auto"/>
        <w:jc w:val="left"/>
        <w:rPr>
          <w:rFonts w:ascii="Arial" w:eastAsia="MS Mincho" w:hAnsi="Arial" w:cs="Arial"/>
          <w:b/>
          <w:bCs/>
          <w:kern w:val="0"/>
          <w:sz w:val="24"/>
          <w:szCs w:val="20"/>
          <w:lang w:eastAsia="en-US"/>
        </w:rPr>
      </w:pPr>
      <w:r w:rsidRPr="0078246A">
        <w:rPr>
          <w:rFonts w:ascii="Arial" w:eastAsia="MS Mincho" w:hAnsi="Arial" w:cs="Arial"/>
          <w:b/>
          <w:bCs/>
          <w:kern w:val="0"/>
          <w:sz w:val="24"/>
          <w:szCs w:val="20"/>
          <w:lang w:eastAsia="en-US"/>
        </w:rPr>
        <w:t>Agenda item:</w:t>
      </w:r>
      <w:r w:rsidRPr="0078246A">
        <w:rPr>
          <w:rFonts w:ascii="Arial" w:eastAsia="MS Mincho" w:hAnsi="Arial" w:cs="Arial"/>
          <w:b/>
          <w:bCs/>
          <w:kern w:val="0"/>
          <w:sz w:val="24"/>
          <w:szCs w:val="20"/>
          <w:lang w:eastAsia="en-US"/>
        </w:rPr>
        <w:tab/>
      </w:r>
      <w:r w:rsidRPr="0078246A">
        <w:rPr>
          <w:rFonts w:ascii="바탕체" w:eastAsia="바탕체" w:hAnsi="바탕체" w:cs="바탕체"/>
          <w:b/>
          <w:bCs/>
          <w:kern w:val="0"/>
          <w:sz w:val="24"/>
          <w:szCs w:val="20"/>
        </w:rPr>
        <w:t>6.1.</w:t>
      </w:r>
      <w:r>
        <w:rPr>
          <w:rFonts w:ascii="바탕체" w:eastAsia="바탕체" w:hAnsi="바탕체" w:cs="바탕체"/>
          <w:b/>
          <w:bCs/>
          <w:kern w:val="0"/>
          <w:sz w:val="24"/>
          <w:szCs w:val="20"/>
        </w:rPr>
        <w:t>5</w:t>
      </w:r>
    </w:p>
    <w:p w:rsidR="001A5D11" w:rsidRPr="0078246A" w:rsidRDefault="001A5D11" w:rsidP="001A5D11">
      <w:pPr>
        <w:widowControl/>
        <w:wordWrap/>
        <w:autoSpaceDE/>
        <w:autoSpaceDN/>
        <w:spacing w:after="120" w:line="240" w:lineRule="auto"/>
        <w:jc w:val="left"/>
        <w:rPr>
          <w:rFonts w:ascii="Arial" w:eastAsia="바탕" w:hAnsi="Arial" w:cs="Arial"/>
          <w:b/>
          <w:bCs/>
          <w:kern w:val="0"/>
          <w:sz w:val="24"/>
          <w:szCs w:val="20"/>
          <w:lang w:eastAsia="zh-CN"/>
        </w:rPr>
      </w:pPr>
      <w:r w:rsidRPr="0078246A">
        <w:rPr>
          <w:rFonts w:ascii="Arial" w:eastAsia="바탕" w:hAnsi="Arial" w:cs="Arial"/>
          <w:b/>
          <w:bCs/>
          <w:kern w:val="0"/>
          <w:sz w:val="24"/>
          <w:szCs w:val="20"/>
          <w:lang w:eastAsia="en-US"/>
        </w:rPr>
        <w:t>Source:</w:t>
      </w:r>
      <w:r>
        <w:rPr>
          <w:rFonts w:ascii="Arial" w:eastAsia="바탕" w:hAnsi="Arial" w:cs="Arial"/>
          <w:b/>
          <w:bCs/>
          <w:kern w:val="0"/>
          <w:sz w:val="24"/>
          <w:szCs w:val="20"/>
          <w:lang w:eastAsia="en-US"/>
        </w:rPr>
        <w:t xml:space="preserve"> </w:t>
      </w:r>
      <w:r w:rsidRPr="0078246A">
        <w:rPr>
          <w:rFonts w:ascii="Arial" w:eastAsia="바탕" w:hAnsi="Arial" w:cs="Arial"/>
          <w:bCs/>
          <w:kern w:val="0"/>
          <w:sz w:val="24"/>
          <w:szCs w:val="20"/>
          <w:lang w:eastAsia="en-US"/>
        </w:rPr>
        <w:t>Samsung</w:t>
      </w:r>
    </w:p>
    <w:p w:rsidR="001A5D11" w:rsidRPr="0078246A" w:rsidRDefault="001A5D11" w:rsidP="001A5D11">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78246A">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 xml:space="preserve"> </w:t>
      </w:r>
      <w:r>
        <w:rPr>
          <w:rFonts w:ascii="Arial" w:eastAsia="바탕" w:hAnsi="Arial" w:cs="Arial"/>
          <w:bCs/>
          <w:kern w:val="0"/>
          <w:sz w:val="24"/>
          <w:szCs w:val="20"/>
          <w:lang w:eastAsia="en-US"/>
        </w:rPr>
        <w:t>SCGFailureInformation procedure in IAB RLF handling</w:t>
      </w:r>
    </w:p>
    <w:p w:rsidR="001A5D11" w:rsidRPr="0078246A" w:rsidRDefault="001A5D11" w:rsidP="001A5D11">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78246A">
        <w:rPr>
          <w:rFonts w:ascii="Arial" w:eastAsia="바탕" w:hAnsi="Arial" w:cs="Arial"/>
          <w:b/>
          <w:bCs/>
          <w:kern w:val="0"/>
          <w:sz w:val="24"/>
          <w:szCs w:val="20"/>
          <w:lang w:eastAsia="en-US"/>
        </w:rPr>
        <w:t>Document for:</w:t>
      </w:r>
      <w:r>
        <w:rPr>
          <w:rFonts w:ascii="Arial" w:eastAsia="바탕" w:hAnsi="Arial" w:cs="Arial"/>
          <w:b/>
          <w:bCs/>
          <w:kern w:val="0"/>
          <w:sz w:val="24"/>
          <w:szCs w:val="20"/>
          <w:lang w:eastAsia="en-US"/>
        </w:rPr>
        <w:t xml:space="preserve"> </w:t>
      </w:r>
      <w:r w:rsidRPr="0078246A">
        <w:rPr>
          <w:rFonts w:ascii="Arial" w:eastAsia="바탕" w:hAnsi="Arial" w:cs="Arial"/>
          <w:bCs/>
          <w:kern w:val="0"/>
          <w:sz w:val="24"/>
          <w:szCs w:val="20"/>
          <w:lang w:eastAsia="en-US"/>
        </w:rPr>
        <w:t>Discussion and Decision</w:t>
      </w:r>
    </w:p>
    <w:p w:rsidR="001A5D11" w:rsidRDefault="001A5D11"/>
    <w:p w:rsidR="001A5D11" w:rsidRDefault="001A5D11" w:rsidP="005E7D26">
      <w:pPr>
        <w:pStyle w:val="1"/>
        <w:numPr>
          <w:ilvl w:val="0"/>
          <w:numId w:val="2"/>
        </w:numPr>
      </w:pPr>
      <w:r>
        <w:t>I</w:t>
      </w:r>
      <w:r>
        <w:rPr>
          <w:rFonts w:hint="eastAsia"/>
        </w:rPr>
        <w:t>ntroduction</w:t>
      </w:r>
    </w:p>
    <w:p w:rsidR="001A5D11" w:rsidRDefault="001A5D11" w:rsidP="001A5D11">
      <w:r>
        <w:t>D</w:t>
      </w:r>
      <w:r>
        <w:rPr>
          <w:rFonts w:hint="eastAsia"/>
        </w:rPr>
        <w:t xml:space="preserve">uring </w:t>
      </w:r>
      <w:r>
        <w:t>email discussion “109e#36 IAB RLF handling” there was a discussion on update of SCGFailureInformation message for handling IAB specific failure cases. Mainly whether the new failure type should be included in that message or not was debated. In this contribution, we further discuss on this aspect.</w:t>
      </w:r>
    </w:p>
    <w:p w:rsidR="001A5D11" w:rsidRDefault="001A5D11" w:rsidP="005E7D26">
      <w:pPr>
        <w:pStyle w:val="1"/>
        <w:numPr>
          <w:ilvl w:val="0"/>
          <w:numId w:val="2"/>
        </w:numPr>
      </w:pPr>
      <w:r>
        <w:t xml:space="preserve">Discussion </w:t>
      </w:r>
    </w:p>
    <w:p w:rsidR="002C70D2" w:rsidRDefault="00D31736">
      <w:r>
        <w:t>Current UE behavior when SCGfailure happens, UE will send the report to the serving node via MCG link using SCGFailureInformation message. Based on this report, serving node can handle the failed UE. In current S</w:t>
      </w:r>
      <w:r w:rsidR="002C70D2">
        <w:t>CGFailureInformation</w:t>
      </w:r>
      <w:r>
        <w:t>, the failure types are as below</w:t>
      </w:r>
      <w:r w:rsidR="002C70D2">
        <w:t>:</w:t>
      </w:r>
    </w:p>
    <w:p w:rsidR="00D31736" w:rsidRPr="0096519C" w:rsidRDefault="00D31736" w:rsidP="00D31736">
      <w:pPr>
        <w:pStyle w:val="PL"/>
        <w:rPr>
          <w:rFonts w:eastAsia="맑은 고딕"/>
        </w:rPr>
      </w:pPr>
      <w:r w:rsidRPr="0096519C">
        <w:rPr>
          <w:rFonts w:eastAsia="맑은 고딕"/>
        </w:rPr>
        <w:t xml:space="preserve">failureType                                    </w:t>
      </w:r>
      <w:r w:rsidRPr="0096519C">
        <w:rPr>
          <w:color w:val="993366"/>
        </w:rPr>
        <w:t>ENUMERATED</w:t>
      </w:r>
      <w:r w:rsidRPr="0096519C">
        <w:rPr>
          <w:rFonts w:eastAsia="맑은 고딕"/>
        </w:rPr>
        <w:t xml:space="preserve"> {</w:t>
      </w:r>
    </w:p>
    <w:p w:rsidR="00D31736" w:rsidRPr="0096519C" w:rsidRDefault="00D31736" w:rsidP="00D31736">
      <w:pPr>
        <w:pStyle w:val="PL"/>
        <w:rPr>
          <w:rFonts w:eastAsia="맑은 고딕"/>
        </w:rPr>
      </w:pPr>
      <w:r w:rsidRPr="0096519C">
        <w:rPr>
          <w:rFonts w:eastAsia="맑은 고딕"/>
        </w:rPr>
        <w:t xml:space="preserve">                                                           t31</w:t>
      </w:r>
      <w:r w:rsidRPr="0096519C">
        <w:rPr>
          <w:rFonts w:eastAsia="MS Mincho"/>
        </w:rPr>
        <w:t>0</w:t>
      </w:r>
      <w:r w:rsidRPr="0096519C">
        <w:rPr>
          <w:rFonts w:eastAsia="맑은 고딕"/>
        </w:rPr>
        <w:t>-Expiry, randomAccessProblem,</w:t>
      </w:r>
    </w:p>
    <w:p w:rsidR="00D31736" w:rsidRPr="0096519C" w:rsidRDefault="00D31736" w:rsidP="00D31736">
      <w:pPr>
        <w:pStyle w:val="PL"/>
        <w:rPr>
          <w:rFonts w:eastAsia="맑은 고딕"/>
        </w:rPr>
      </w:pPr>
      <w:r w:rsidRPr="0096519C">
        <w:rPr>
          <w:rFonts w:eastAsia="맑은 고딕"/>
        </w:rPr>
        <w:t xml:space="preserve">                                                           rlc-MaxNumRetx,</w:t>
      </w:r>
    </w:p>
    <w:p w:rsidR="00D31736" w:rsidRPr="0096519C" w:rsidRDefault="00D31736" w:rsidP="00D31736">
      <w:pPr>
        <w:pStyle w:val="PL"/>
        <w:rPr>
          <w:rFonts w:eastAsia="맑은 고딕"/>
        </w:rPr>
      </w:pPr>
      <w:r w:rsidRPr="0096519C">
        <w:rPr>
          <w:rFonts w:eastAsia="맑은 고딕"/>
        </w:rPr>
        <w:t xml:space="preserve">                                                           synchReconfigFailureSCG, scg-ReconfigFailure,</w:t>
      </w:r>
    </w:p>
    <w:p w:rsidR="00D31736" w:rsidRPr="0096519C" w:rsidRDefault="00D31736" w:rsidP="00D31736">
      <w:pPr>
        <w:pStyle w:val="PL"/>
        <w:rPr>
          <w:rFonts w:eastAsia="맑은 고딕"/>
        </w:rPr>
      </w:pPr>
      <w:r w:rsidRPr="0096519C">
        <w:rPr>
          <w:rFonts w:eastAsia="맑은 고딕"/>
        </w:rPr>
        <w:t xml:space="preserve">                                                           srb3-IntegrityFailure, </w:t>
      </w:r>
      <w:r w:rsidRPr="0096519C" w:rsidDel="0087582D">
        <w:t xml:space="preserve"> </w:t>
      </w:r>
      <w:r w:rsidRPr="0096519C">
        <w:t>spare2, spare1</w:t>
      </w:r>
      <w:r w:rsidRPr="0096519C">
        <w:rPr>
          <w:rFonts w:eastAsia="맑은 고딕"/>
        </w:rPr>
        <w:t>},</w:t>
      </w:r>
    </w:p>
    <w:p w:rsidR="00D31736" w:rsidRDefault="00D31736"/>
    <w:p w:rsidR="002C70D2" w:rsidRDefault="002C70D2">
      <w:r>
        <w:t xml:space="preserve">Each failure type is only reflecting </w:t>
      </w:r>
      <w:r w:rsidR="008E5F92">
        <w:t xml:space="preserve">their own failure situation </w:t>
      </w:r>
      <w:r>
        <w:t>between UE and serving cell which is experienced by the UE</w:t>
      </w:r>
      <w:r w:rsidR="008E5F92">
        <w:t xml:space="preserve"> side</w:t>
      </w:r>
      <w:r>
        <w:t xml:space="preserve">. </w:t>
      </w:r>
      <w:r w:rsidR="0084504C">
        <w:t>It is not easy to reuse one of them to reflecting the reception of RLF recovery failure from the parent IAB node.</w:t>
      </w:r>
    </w:p>
    <w:p w:rsidR="002C70D2" w:rsidRPr="005E7D26" w:rsidRDefault="002C70D2">
      <w:pPr>
        <w:rPr>
          <w:i/>
        </w:rPr>
      </w:pPr>
      <w:r w:rsidRPr="005E7D26">
        <w:rPr>
          <w:i/>
        </w:rPr>
        <w:t>Observation 1. There is no failure type which can reflect the reception of RLF recovery failure notification from the parent IAB node.</w:t>
      </w:r>
    </w:p>
    <w:p w:rsidR="002C70D2" w:rsidRDefault="002C70D2"/>
    <w:p w:rsidR="00425771" w:rsidRDefault="00425771">
      <w:r>
        <w:t xml:space="preserve">There was rapporteurs’ comment that </w:t>
      </w:r>
      <w:r w:rsidR="002C70D2">
        <w:t xml:space="preserve">parent </w:t>
      </w:r>
      <w:r>
        <w:t xml:space="preserve">IAB node </w:t>
      </w:r>
      <w:r w:rsidR="002C70D2">
        <w:t xml:space="preserve">will report the </w:t>
      </w:r>
      <w:r w:rsidR="00905D02">
        <w:t xml:space="preserve">upstream BH </w:t>
      </w:r>
      <w:r w:rsidR="002C70D2">
        <w:t>RLF to CU over F1-AP signaling.</w:t>
      </w:r>
      <w:r>
        <w:t xml:space="preserve"> And this can help the donor CU can identify the situation</w:t>
      </w:r>
      <w:r w:rsidR="00905D02">
        <w:t xml:space="preserve"> with legacy SCGfailureinformation report</w:t>
      </w:r>
      <w:r>
        <w:t xml:space="preserve">, i.e., parent node has RLF and child node has sent the </w:t>
      </w:r>
      <w:r>
        <w:lastRenderedPageBreak/>
        <w:t>SCGFailureInformation msg upon receiving RLF recovery failure notification.</w:t>
      </w:r>
      <w:r w:rsidR="002C70D2">
        <w:t xml:space="preserve"> </w:t>
      </w:r>
    </w:p>
    <w:p w:rsidR="00905D02" w:rsidRDefault="000638DD">
      <w:r>
        <w:t xml:space="preserve">However, </w:t>
      </w:r>
      <w:r w:rsidR="00905D02">
        <w:t>the thing is that donor CU cannot catch the situation enough via legacy signaling. In current IAB behavior, RLF recovery failure notification is sent to the child node on RRCreestablishment failure at the node. In current 38.331, RRCreestablishment can be triggered on following cases:</w:t>
      </w:r>
    </w:p>
    <w:p w:rsidR="00905D02" w:rsidRPr="005E7D26" w:rsidRDefault="00905D02">
      <w:pPr>
        <w:rPr>
          <w:i/>
        </w:rPr>
      </w:pPr>
      <w:r w:rsidRPr="005E7D26">
        <w:rPr>
          <w:rFonts w:hint="eastAsia"/>
          <w:i/>
        </w:rPr>
        <w:t xml:space="preserve">RLF on MCG, </w:t>
      </w:r>
      <w:r w:rsidRPr="005E7D26">
        <w:rPr>
          <w:i/>
        </w:rPr>
        <w:t xml:space="preserve">reconfiguration with sync failure on MCG, mobility from NR failure, integrity check failure, RRC reconfiguration failure. </w:t>
      </w:r>
    </w:p>
    <w:p w:rsidR="00C74553" w:rsidRDefault="00905D02">
      <w:r>
        <w:t>Anything from above reasons can trigger RLF recovery failure notification to the child node</w:t>
      </w:r>
      <w:r w:rsidR="00910C50">
        <w:t xml:space="preserve"> when reestablishment fails</w:t>
      </w:r>
      <w:r>
        <w:t xml:space="preserve">. Except the first one, i.e., RLF on MCG, all the other is not related to the actual radio channel quality, and there will be no catch and report of upstream BH RLF to the donor CU. </w:t>
      </w:r>
      <w:r w:rsidR="00910C50">
        <w:t>So, if we reuse one of the failure types to cover IAB</w:t>
      </w:r>
      <w:r w:rsidR="00C74553">
        <w:t xml:space="preserve"> RLF recovery failure case, CU might not have any other evidence w.r.t. upstream BH RLF report, but only SCGfailureInformation is available. </w:t>
      </w:r>
    </w:p>
    <w:p w:rsidR="00C74553" w:rsidRPr="005E7D26" w:rsidRDefault="00C74553">
      <w:pPr>
        <w:rPr>
          <w:i/>
        </w:rPr>
      </w:pPr>
      <w:r w:rsidRPr="005E7D26">
        <w:rPr>
          <w:i/>
        </w:rPr>
        <w:t xml:space="preserve">Observation 2. RLF recovery failure notification can be triggered even when the parent node has failures other than RLF, which cannot be captured by upstream BH RLF notification via F1AP. </w:t>
      </w:r>
    </w:p>
    <w:p w:rsidR="00905D02" w:rsidRPr="005E7D26" w:rsidRDefault="00C74553">
      <w:pPr>
        <w:rPr>
          <w:i/>
        </w:rPr>
      </w:pPr>
      <w:r w:rsidRPr="005E7D26">
        <w:rPr>
          <w:i/>
        </w:rPr>
        <w:t xml:space="preserve">Observation3. When reusing one of the failure types in legacy SCGFailureInformation cannot guarantee that donor CU distinguish parent node’s RLF from child node’s RLF. </w:t>
      </w:r>
      <w:r w:rsidR="00910C50" w:rsidRPr="005E7D26">
        <w:rPr>
          <w:i/>
        </w:rPr>
        <w:t xml:space="preserve"> </w:t>
      </w:r>
    </w:p>
    <w:p w:rsidR="0056694D" w:rsidRDefault="0056694D"/>
    <w:p w:rsidR="00202060" w:rsidRDefault="00202060">
      <w:r>
        <w:t>T</w:t>
      </w:r>
      <w:r>
        <w:rPr>
          <w:rFonts w:hint="eastAsia"/>
        </w:rPr>
        <w:t>herefore,</w:t>
      </w:r>
      <w:r>
        <w:t xml:space="preserve"> we have the following proposal.</w:t>
      </w:r>
    </w:p>
    <w:p w:rsidR="0056694D" w:rsidRPr="005E7D26" w:rsidRDefault="0056694D">
      <w:pPr>
        <w:rPr>
          <w:b/>
        </w:rPr>
      </w:pPr>
      <w:r w:rsidRPr="005E7D26">
        <w:rPr>
          <w:b/>
        </w:rPr>
        <w:t xml:space="preserve">Proposal 1: RAN2 introduces new failure type </w:t>
      </w:r>
      <w:r w:rsidR="00202060" w:rsidRPr="005E7D26">
        <w:rPr>
          <w:b/>
        </w:rPr>
        <w:t xml:space="preserve">in SCGFailureInformation message </w:t>
      </w:r>
      <w:r w:rsidRPr="005E7D26">
        <w:rPr>
          <w:b/>
        </w:rPr>
        <w:t xml:space="preserve">to </w:t>
      </w:r>
      <w:r w:rsidR="00202060" w:rsidRPr="005E7D26">
        <w:rPr>
          <w:b/>
        </w:rPr>
        <w:t>reflect that t</w:t>
      </w:r>
      <w:r w:rsidRPr="005E7D26">
        <w:rPr>
          <w:b/>
        </w:rPr>
        <w:t xml:space="preserve">he IAB node </w:t>
      </w:r>
      <w:r w:rsidR="00202060" w:rsidRPr="005E7D26">
        <w:rPr>
          <w:b/>
        </w:rPr>
        <w:t xml:space="preserve">sending this message received </w:t>
      </w:r>
      <w:r w:rsidRPr="005E7D26">
        <w:rPr>
          <w:b/>
        </w:rPr>
        <w:t xml:space="preserve">RLF recovery failure notification from its </w:t>
      </w:r>
      <w:r w:rsidR="009216E4" w:rsidRPr="005E7D26">
        <w:rPr>
          <w:b/>
        </w:rPr>
        <w:t xml:space="preserve">SCG </w:t>
      </w:r>
      <w:r w:rsidRPr="005E7D26">
        <w:rPr>
          <w:b/>
        </w:rPr>
        <w:t>parent IAB node.</w:t>
      </w:r>
    </w:p>
    <w:p w:rsidR="00202060" w:rsidRDefault="00202060"/>
    <w:p w:rsidR="00202060" w:rsidRDefault="00202060">
      <w:r>
        <w:t>We also agreed to use Rel-16 MCG/SCG failure recovery procedure, where MCGFailureInfomration is introduced where MCG link RLF is to be recovered. It is assumed that the same analogy is applied to this. So, we have another proposal</w:t>
      </w:r>
      <w:r>
        <w:rPr>
          <w:rFonts w:hint="eastAsia"/>
        </w:rPr>
        <w:t xml:space="preserve">. </w:t>
      </w:r>
    </w:p>
    <w:p w:rsidR="00202060" w:rsidRPr="005E7D26" w:rsidRDefault="00202060" w:rsidP="00202060">
      <w:pPr>
        <w:rPr>
          <w:b/>
        </w:rPr>
      </w:pPr>
      <w:r w:rsidRPr="005E7D26">
        <w:rPr>
          <w:b/>
        </w:rPr>
        <w:t xml:space="preserve">Proposal 2: RAN2 introduces new failure type in MCGFailureInformation message to reflect that the IAB node sending this message received RLF recovery failure notification from its </w:t>
      </w:r>
      <w:r w:rsidR="009216E4" w:rsidRPr="005E7D26">
        <w:rPr>
          <w:b/>
        </w:rPr>
        <w:t xml:space="preserve">MCG </w:t>
      </w:r>
      <w:r w:rsidRPr="005E7D26">
        <w:rPr>
          <w:b/>
        </w:rPr>
        <w:t>parent IAB node.</w:t>
      </w:r>
    </w:p>
    <w:p w:rsidR="009216E4" w:rsidRDefault="009216E4" w:rsidP="00202060"/>
    <w:p w:rsidR="009216E4" w:rsidRDefault="009216E4" w:rsidP="005E7D26">
      <w:pPr>
        <w:pStyle w:val="1"/>
        <w:numPr>
          <w:ilvl w:val="0"/>
          <w:numId w:val="2"/>
        </w:numPr>
      </w:pPr>
      <w:r>
        <w:lastRenderedPageBreak/>
        <w:t xml:space="preserve">Conclusion </w:t>
      </w:r>
    </w:p>
    <w:p w:rsidR="005E7D26" w:rsidRDefault="005E7D26">
      <w:r>
        <w:t>I</w:t>
      </w:r>
      <w:r>
        <w:rPr>
          <w:rFonts w:hint="eastAsia"/>
        </w:rPr>
        <w:t xml:space="preserve">n </w:t>
      </w:r>
      <w:r>
        <w:t>this contribution, we discussed on failure handling in IAB on whether new type of failure could be included in the legacy failure reporting messages. We have the following observations and proposals:</w:t>
      </w:r>
    </w:p>
    <w:p w:rsidR="005E7D26" w:rsidRPr="005E7D26" w:rsidRDefault="005E7D26" w:rsidP="005E7D26">
      <w:pPr>
        <w:rPr>
          <w:i/>
        </w:rPr>
      </w:pPr>
      <w:r w:rsidRPr="005E7D26">
        <w:rPr>
          <w:i/>
        </w:rPr>
        <w:t>Observation 1. There is no failure type which can reflect the reception of RLF recovery failure notification from the parent IAB node.</w:t>
      </w:r>
    </w:p>
    <w:p w:rsidR="005E7D26" w:rsidRPr="005E7D26" w:rsidRDefault="005E7D26" w:rsidP="005E7D26">
      <w:pPr>
        <w:rPr>
          <w:i/>
        </w:rPr>
      </w:pPr>
      <w:r w:rsidRPr="005E7D26">
        <w:rPr>
          <w:i/>
        </w:rPr>
        <w:t xml:space="preserve">Observation 2. RLF recovery failure notification can be triggered even when the parent node has failures other than RLF, which cannot be captured by upstream BH RLF notification via F1AP. </w:t>
      </w:r>
    </w:p>
    <w:p w:rsidR="005E7D26" w:rsidRPr="005E7D26" w:rsidRDefault="005E7D26" w:rsidP="005E7D26">
      <w:pPr>
        <w:rPr>
          <w:i/>
        </w:rPr>
      </w:pPr>
      <w:r w:rsidRPr="005E7D26">
        <w:rPr>
          <w:i/>
        </w:rPr>
        <w:t xml:space="preserve">Observation3. When reusing one of the failure types in legacy SCGFailureInformation cannot guarantee that donor CU distinguish parent node’s RLF from child node’s RLF.  </w:t>
      </w:r>
    </w:p>
    <w:p w:rsidR="005E7D26" w:rsidRPr="005E7D26" w:rsidRDefault="005E7D26" w:rsidP="005E7D26">
      <w:pPr>
        <w:rPr>
          <w:b/>
        </w:rPr>
      </w:pPr>
      <w:r w:rsidRPr="005E7D26">
        <w:rPr>
          <w:b/>
        </w:rPr>
        <w:t>Proposal 1: RAN2 introduces new failure type in SCGFailureInformation message to reflect that the IAB node sending this message received RLF recovery failure notification from its SCG parent IAB node.</w:t>
      </w:r>
    </w:p>
    <w:p w:rsidR="005E7D26" w:rsidRPr="005E7D26" w:rsidRDefault="005E7D26" w:rsidP="005E7D26">
      <w:pPr>
        <w:rPr>
          <w:b/>
        </w:rPr>
      </w:pPr>
      <w:r w:rsidRPr="005E7D26">
        <w:rPr>
          <w:b/>
        </w:rPr>
        <w:t>Proposal 2: RAN2 introduces new failure type in MCGFailureInformation message to reflect that the IAB node sending this message received RLF recovery failure notification from its MCG parent IAB node.</w:t>
      </w:r>
    </w:p>
    <w:p w:rsidR="005E7D26" w:rsidRPr="005E7D26" w:rsidRDefault="005E7D26"/>
    <w:sectPr w:rsidR="005E7D26" w:rsidRPr="005E7D26">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4764" w:rsidRDefault="00CD4764" w:rsidP="00D636CC">
      <w:pPr>
        <w:spacing w:after="0" w:line="240" w:lineRule="auto"/>
      </w:pPr>
      <w:r>
        <w:separator/>
      </w:r>
    </w:p>
  </w:endnote>
  <w:endnote w:type="continuationSeparator" w:id="0">
    <w:p w:rsidR="00CD4764" w:rsidRDefault="00CD4764" w:rsidP="00D636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4764" w:rsidRDefault="00CD4764" w:rsidP="00D636CC">
      <w:pPr>
        <w:spacing w:after="0" w:line="240" w:lineRule="auto"/>
      </w:pPr>
      <w:r>
        <w:separator/>
      </w:r>
    </w:p>
  </w:footnote>
  <w:footnote w:type="continuationSeparator" w:id="0">
    <w:p w:rsidR="00CD4764" w:rsidRDefault="00CD4764" w:rsidP="00D636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51FF0"/>
    <w:multiLevelType w:val="hybridMultilevel"/>
    <w:tmpl w:val="DFCACFF6"/>
    <w:lvl w:ilvl="0" w:tplc="F4A04E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EEA5F7B"/>
    <w:multiLevelType w:val="hybridMultilevel"/>
    <w:tmpl w:val="ECA068B0"/>
    <w:lvl w:ilvl="0" w:tplc="2360826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0D2"/>
    <w:rsid w:val="000638DD"/>
    <w:rsid w:val="00190C12"/>
    <w:rsid w:val="001A5D11"/>
    <w:rsid w:val="00202060"/>
    <w:rsid w:val="00244B40"/>
    <w:rsid w:val="002C70D2"/>
    <w:rsid w:val="0031186C"/>
    <w:rsid w:val="00425771"/>
    <w:rsid w:val="00455830"/>
    <w:rsid w:val="0048649E"/>
    <w:rsid w:val="00534C70"/>
    <w:rsid w:val="0056694D"/>
    <w:rsid w:val="00590BDF"/>
    <w:rsid w:val="005B6BCE"/>
    <w:rsid w:val="005E7D26"/>
    <w:rsid w:val="007232EA"/>
    <w:rsid w:val="0084504C"/>
    <w:rsid w:val="008E5F92"/>
    <w:rsid w:val="008F1554"/>
    <w:rsid w:val="00905D02"/>
    <w:rsid w:val="00910C50"/>
    <w:rsid w:val="009216E4"/>
    <w:rsid w:val="00C0032F"/>
    <w:rsid w:val="00C47151"/>
    <w:rsid w:val="00C74553"/>
    <w:rsid w:val="00CD4764"/>
    <w:rsid w:val="00D31736"/>
    <w:rsid w:val="00D636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21551FC-B548-478D-AF00-F2AB1F167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
    <w:next w:val="a"/>
    <w:link w:val="1Char"/>
    <w:uiPriority w:val="9"/>
    <w:qFormat/>
    <w:rsid w:val="005E7D26"/>
    <w:pPr>
      <w:keepNext/>
      <w:keepLines/>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636CC"/>
    <w:pPr>
      <w:tabs>
        <w:tab w:val="center" w:pos="4513"/>
        <w:tab w:val="right" w:pos="9026"/>
      </w:tabs>
      <w:snapToGrid w:val="0"/>
    </w:pPr>
  </w:style>
  <w:style w:type="character" w:customStyle="1" w:styleId="Char">
    <w:name w:val="머리글 Char"/>
    <w:basedOn w:val="a0"/>
    <w:link w:val="a3"/>
    <w:uiPriority w:val="99"/>
    <w:rsid w:val="00D636CC"/>
  </w:style>
  <w:style w:type="paragraph" w:styleId="a4">
    <w:name w:val="footer"/>
    <w:basedOn w:val="a"/>
    <w:link w:val="Char0"/>
    <w:uiPriority w:val="99"/>
    <w:unhideWhenUsed/>
    <w:rsid w:val="00D636CC"/>
    <w:pPr>
      <w:tabs>
        <w:tab w:val="center" w:pos="4513"/>
        <w:tab w:val="right" w:pos="9026"/>
      </w:tabs>
      <w:snapToGrid w:val="0"/>
    </w:pPr>
  </w:style>
  <w:style w:type="character" w:customStyle="1" w:styleId="Char0">
    <w:name w:val="바닥글 Char"/>
    <w:basedOn w:val="a0"/>
    <w:link w:val="a4"/>
    <w:uiPriority w:val="99"/>
    <w:rsid w:val="00D636CC"/>
  </w:style>
  <w:style w:type="paragraph" w:customStyle="1" w:styleId="PL">
    <w:name w:val="PL"/>
    <w:link w:val="PLChar"/>
    <w:qFormat/>
    <w:rsid w:val="00D6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D636CC"/>
    <w:rPr>
      <w:rFonts w:ascii="Courier New" w:eastAsia="Times New Roman" w:hAnsi="Courier New" w:cs="Times New Roman"/>
      <w:noProof/>
      <w:kern w:val="0"/>
      <w:sz w:val="16"/>
      <w:szCs w:val="20"/>
      <w:shd w:val="clear" w:color="auto" w:fill="E6E6E6"/>
      <w:lang w:val="en-GB" w:eastAsia="en-GB"/>
    </w:rPr>
  </w:style>
  <w:style w:type="paragraph" w:styleId="a5">
    <w:name w:val="List Paragraph"/>
    <w:basedOn w:val="a"/>
    <w:uiPriority w:val="34"/>
    <w:qFormat/>
    <w:rsid w:val="001A5D11"/>
    <w:pPr>
      <w:ind w:leftChars="400" w:left="800"/>
    </w:pPr>
  </w:style>
  <w:style w:type="character" w:customStyle="1" w:styleId="1Char">
    <w:name w:val="제목 1 Char"/>
    <w:aliases w:val="H1 Char"/>
    <w:basedOn w:val="a0"/>
    <w:link w:val="1"/>
    <w:uiPriority w:val="9"/>
    <w:rsid w:val="005E7D26"/>
    <w:rPr>
      <w:rFonts w:ascii="Arial" w:eastAsia="SimSun" w:hAnsi="Arial" w:cs="Times New Roman"/>
      <w:kern w:val="0"/>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753</Words>
  <Characters>4295</Characters>
  <Application>Microsoft Office Word</Application>
  <DocSecurity>0</DocSecurity>
  <Lines>35</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2</cp:revision>
  <dcterms:created xsi:type="dcterms:W3CDTF">2020-04-10T06:28:00Z</dcterms:created>
  <dcterms:modified xsi:type="dcterms:W3CDTF">2020-04-10T06:28:00Z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C:\Users\june77.hwang\Documents\표준화 업무 폴더\Labtop\3GPP RAN2 회의 참석시 데이터\RAN2#109bis\IAB\failure type on SCGFailureInformatoin.docx</vt:lpwstr>
  </property>
</Properties>
</file>